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GoBack"/>
      <w:bookmarkEnd w:id="0"/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484A6C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484A6C">
        <w:rPr>
          <w:rFonts w:ascii="Times New Roman" w:hAnsi="Times New Roman"/>
          <w:szCs w:val="22"/>
        </w:rPr>
        <w:t>dissolved Zinc</w:t>
      </w:r>
      <w:r>
        <w:rPr>
          <w:rFonts w:ascii="Times New Roman" w:hAnsi="Times New Roman"/>
          <w:szCs w:val="22"/>
        </w:rPr>
        <w:t xml:space="preserve"> </w:t>
      </w:r>
      <w:proofErr w:type="gramStart"/>
      <w:r w:rsidR="00484A6C">
        <w:rPr>
          <w:rFonts w:ascii="Times New Roman" w:hAnsi="Times New Roman"/>
          <w:szCs w:val="22"/>
        </w:rPr>
        <w:t>Zn(</w:t>
      </w:r>
      <w:proofErr w:type="gramEnd"/>
      <w:r w:rsidR="00484A6C">
        <w:rPr>
          <w:rFonts w:ascii="Times New Roman" w:hAnsi="Times New Roman"/>
          <w:szCs w:val="22"/>
        </w:rPr>
        <w:t xml:space="preserve">II) </w:t>
      </w:r>
      <w:r>
        <w:rPr>
          <w:rFonts w:ascii="Times New Roman" w:hAnsi="Times New Roman"/>
          <w:szCs w:val="22"/>
        </w:rPr>
        <w:t xml:space="preserve">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484A6C" w:rsidRPr="00815F90" w:rsidRDefault="00484A6C" w:rsidP="00484A6C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analytical method</w:t>
      </w:r>
      <w:r w:rsidR="002A7085">
        <w:rPr>
          <w:rFonts w:ascii="Times New Roman" w:hAnsi="Times New Roman"/>
          <w:szCs w:val="22"/>
        </w:rPr>
        <w:t xml:space="preserve"> to determine dissolved Zinc </w:t>
      </w:r>
      <w:proofErr w:type="gramStart"/>
      <w:r w:rsidR="002A7085">
        <w:rPr>
          <w:rFonts w:ascii="Times New Roman" w:hAnsi="Times New Roman"/>
          <w:szCs w:val="22"/>
        </w:rPr>
        <w:t>Zn(</w:t>
      </w:r>
      <w:proofErr w:type="gramEnd"/>
      <w:r w:rsidR="002A7085">
        <w:rPr>
          <w:rFonts w:ascii="Times New Roman" w:hAnsi="Times New Roman"/>
          <w:szCs w:val="22"/>
        </w:rPr>
        <w:t>II) in water</w:t>
      </w:r>
      <w:r>
        <w:rPr>
          <w:rFonts w:ascii="Times New Roman" w:hAnsi="Times New Roman"/>
          <w:szCs w:val="22"/>
        </w:rPr>
        <w:t xml:space="preserve"> is </w:t>
      </w:r>
      <w:r w:rsidR="00840583">
        <w:t xml:space="preserve">colorimetric measurement </w:t>
      </w:r>
      <w:r w:rsidR="00484A6C">
        <w:t xml:space="preserve">at 630 nm </w:t>
      </w:r>
      <w:r w:rsidR="00840583">
        <w:t xml:space="preserve">using </w:t>
      </w:r>
      <w:proofErr w:type="spellStart"/>
      <w:r w:rsidR="00484A6C">
        <w:t>Zincon</w:t>
      </w:r>
      <w:proofErr w:type="spellEnd"/>
      <w:r w:rsidR="00484A6C">
        <w:t>,</w:t>
      </w:r>
      <w:r w:rsidR="00840583">
        <w:t xml:space="preserve"> conform with </w:t>
      </w:r>
      <w:r w:rsidR="00484A6C">
        <w:t>standard method APHA 3500-Zn (B)</w:t>
      </w:r>
      <w:r w:rsidR="00F74E02"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1" w:name="_Hlk533145455"/>
      <w:bookmarkStart w:id="2" w:name="_Hlk330442"/>
      <w:r>
        <w:rPr>
          <w:rFonts w:ascii="Times New Roman" w:hAnsi="Times New Roman"/>
          <w:szCs w:val="22"/>
        </w:rPr>
        <w:t>A cuvette pathlength &lt;30 mm is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3" w:name="_Hlk533143122"/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F547CE" w:rsidRPr="00BF703A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bookmarkEnd w:id="1"/>
    <w:bookmarkEnd w:id="2"/>
    <w:bookmarkEnd w:id="3"/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Default="009852D7" w:rsidP="002A7085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</w:t>
      </w:r>
      <w:proofErr w:type="gramStart"/>
      <w:r w:rsidR="00CB1D47">
        <w:rPr>
          <w:highlight w:val="yellow"/>
        </w:rPr>
        <w:t xml:space="preserve">  ]</w:t>
      </w:r>
      <w:proofErr w:type="gramEnd"/>
      <w:r w:rsidRPr="0073013E">
        <w:rPr>
          <w:highlight w:val="yellow"/>
        </w:rPr>
        <w:t xml:space="preserve"> </w:t>
      </w:r>
      <w:r w:rsidR="00CB1D47">
        <w:rPr>
          <w:highlight w:val="yellow"/>
        </w:rPr>
        <w:t>0</w:t>
      </w:r>
      <w:r w:rsidR="00EA7B33">
        <w:rPr>
          <w:highlight w:val="yellow"/>
        </w:rPr>
        <w:t>.01</w:t>
      </w:r>
      <w:r w:rsidR="00CB1D47">
        <w:rPr>
          <w:highlight w:val="yellow"/>
        </w:rPr>
        <w:t xml:space="preserve"> to 0.1 mg/L </w:t>
      </w:r>
      <w:r w:rsidR="00E82AE0" w:rsidRPr="0073013E">
        <w:rPr>
          <w:highlight w:val="yellow"/>
        </w:rPr>
        <w:t xml:space="preserve">(parts per </w:t>
      </w:r>
      <w:r w:rsidR="00E82AE0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>[   ] 0</w:t>
      </w:r>
      <w:r w:rsidR="00EA7B33">
        <w:rPr>
          <w:highlight w:val="yellow"/>
        </w:rPr>
        <w:t>.025</w:t>
      </w:r>
      <w:r w:rsidR="00CB1D47">
        <w:rPr>
          <w:highlight w:val="yellow"/>
        </w:rPr>
        <w:t xml:space="preserve"> to 0.25 mg/L </w:t>
      </w:r>
      <w:r w:rsidR="00CB1D47">
        <w:rPr>
          <w:highlight w:val="yellow"/>
        </w:rPr>
        <w:br/>
        <w:t>[   ] 0</w:t>
      </w:r>
      <w:r w:rsidR="00EA7B33">
        <w:rPr>
          <w:highlight w:val="yellow"/>
        </w:rPr>
        <w:t>.025</w:t>
      </w:r>
      <w:r w:rsidR="00CB1D47">
        <w:rPr>
          <w:highlight w:val="yellow"/>
        </w:rPr>
        <w:t xml:space="preserve"> to 0.5 mg/L</w:t>
      </w:r>
      <w:r w:rsidR="00E82AE0">
        <w:rPr>
          <w:highlight w:val="yellow"/>
        </w:rPr>
        <w:br/>
        <w:t>[   ] 0</w:t>
      </w:r>
      <w:r w:rsidR="00EA7B33">
        <w:rPr>
          <w:highlight w:val="yellow"/>
        </w:rPr>
        <w:t>.05</w:t>
      </w:r>
      <w:r w:rsidR="00E82AE0">
        <w:rPr>
          <w:highlight w:val="yellow"/>
        </w:rPr>
        <w:t xml:space="preserve"> to 1 mg/L</w:t>
      </w:r>
      <w:r w:rsidR="00CB1D47">
        <w:rPr>
          <w:highlight w:val="yellow"/>
        </w:rPr>
        <w:br/>
        <w:t xml:space="preserve">[   ] </w:t>
      </w:r>
      <w:r w:rsidRPr="0073013E">
        <w:rPr>
          <w:highlight w:val="yellow"/>
        </w:rPr>
        <w:t>0</w:t>
      </w:r>
      <w:r w:rsidR="00EA7B33">
        <w:rPr>
          <w:highlight w:val="yellow"/>
        </w:rPr>
        <w:t>.4</w:t>
      </w:r>
      <w:r w:rsidRPr="0073013E">
        <w:rPr>
          <w:highlight w:val="yellow"/>
        </w:rPr>
        <w:t xml:space="preserve"> to </w:t>
      </w:r>
      <w:r w:rsidR="00CB1D47">
        <w:rPr>
          <w:highlight w:val="yellow"/>
        </w:rPr>
        <w:t>4 m</w:t>
      </w:r>
      <w:r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</w:t>
      </w:r>
      <w:r w:rsidR="00EA7B33">
        <w:rPr>
          <w:rFonts w:ascii="Times New Roman" w:hAnsi="Times New Roman"/>
          <w:szCs w:val="22"/>
          <w:highlight w:val="yellow"/>
        </w:rPr>
        <w:t>.8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152E5B">
        <w:rPr>
          <w:rFonts w:ascii="Times New Roman" w:hAnsi="Times New Roman"/>
          <w:szCs w:val="22"/>
          <w:highlight w:val="yellow"/>
        </w:rPr>
        <w:t>8</w:t>
      </w:r>
      <w:r w:rsidR="00CB1D47">
        <w:rPr>
          <w:rFonts w:ascii="Times New Roman" w:hAnsi="Times New Roman"/>
          <w:szCs w:val="22"/>
          <w:highlight w:val="yellow"/>
        </w:rPr>
        <w:t xml:space="preserve"> 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EA7B33">
        <w:rPr>
          <w:highlight w:val="yellow"/>
        </w:rPr>
        <w:t xml:space="preserve">5 </w:t>
      </w:r>
      <w:r w:rsidR="00152E5B">
        <w:rPr>
          <w:highlight w:val="yellow"/>
        </w:rPr>
        <w:t>to 10</w:t>
      </w:r>
      <w:r w:rsidR="009E78CF" w:rsidRPr="0073013E">
        <w:rPr>
          <w:highlight w:val="yellow"/>
        </w:rPr>
        <w:t xml:space="preserve">0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 xml:space="preserve">with internal </w:t>
      </w:r>
      <w:r w:rsidR="00152E5B">
        <w:rPr>
          <w:highlight w:val="yellow"/>
        </w:rPr>
        <w:t>dispenser</w:t>
      </w:r>
      <w:r w:rsidR="009E78CF" w:rsidRPr="0073013E">
        <w:rPr>
          <w:highlight w:val="yellow"/>
        </w:rPr>
        <w:t xml:space="preserve"> dilution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2A7085" w:rsidRPr="00E82AE0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10</w:t>
      </w:r>
      <w:r w:rsidRPr="00E82AE0">
        <w:rPr>
          <w:rFonts w:ascii="Times New Roman" w:hAnsi="Times New Roman"/>
          <w:szCs w:val="22"/>
        </w:rPr>
        <w:t xml:space="preserve"> </w:t>
      </w:r>
      <w:proofErr w:type="spellStart"/>
      <w:r>
        <w:t>μg</w:t>
      </w:r>
      <w:proofErr w:type="spellEnd"/>
      <w:r>
        <w:t>/L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2A7085" w:rsidRP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Better than </w:t>
      </w:r>
      <w:r w:rsidRPr="00484A6C">
        <w:rPr>
          <w:rFonts w:ascii="Times New Roman" w:hAnsi="Times New Roman"/>
          <w:szCs w:val="22"/>
        </w:rPr>
        <w:t>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9E78CF">
        <w:rPr>
          <w:rFonts w:ascii="Times New Roman" w:hAnsi="Times New Roman"/>
          <w:szCs w:val="22"/>
        </w:rPr>
        <w:t>0 minutes (dilution +5 min.)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4" w:name="_Hlk533145688"/>
      <w:r>
        <w:t>Alarm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lastRenderedPageBreak/>
        <w:t>Protection class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bookmarkEnd w:id="4"/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152E5B" w:rsidRPr="00970327">
        <w:rPr>
          <w:rFonts w:ascii="Times New Roman" w:hAnsi="Times New Roman"/>
          <w:szCs w:val="22"/>
        </w:rPr>
        <w:t>1</w:t>
      </w:r>
      <w:r w:rsidRPr="00970327">
        <w:rPr>
          <w:rFonts w:ascii="Times New Roman" w:hAnsi="Times New Roman"/>
          <w:szCs w:val="22"/>
        </w:rPr>
        <w:t xml:space="preserve">000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484A6C">
        <w:rPr>
          <w:rFonts w:ascii="Times New Roman" w:hAnsi="Times New Roman"/>
          <w:szCs w:val="22"/>
        </w:rPr>
        <w:t>Zinc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484A6C">
        <w:rPr>
          <w:rFonts w:ascii="Times New Roman" w:hAnsi="Times New Roman"/>
          <w:szCs w:val="22"/>
        </w:rPr>
        <w:t>Zinc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484A6C">
        <w:rPr>
          <w:rFonts w:ascii="Times New Roman" w:hAnsi="Times New Roman"/>
          <w:szCs w:val="22"/>
        </w:rPr>
        <w:t>dissolved Zinc</w:t>
      </w:r>
      <w:r w:rsidR="002A7085">
        <w:rPr>
          <w:rFonts w:ascii="Times New Roman" w:hAnsi="Times New Roman"/>
          <w:szCs w:val="22"/>
        </w:rPr>
        <w:t xml:space="preserve"> </w:t>
      </w:r>
      <w:proofErr w:type="gramStart"/>
      <w:r w:rsidR="002A7085">
        <w:rPr>
          <w:rFonts w:ascii="Times New Roman" w:hAnsi="Times New Roman"/>
          <w:szCs w:val="22"/>
        </w:rPr>
        <w:t>Zn(</w:t>
      </w:r>
      <w:proofErr w:type="gramEnd"/>
      <w:r w:rsidR="002A7085">
        <w:rPr>
          <w:rFonts w:ascii="Times New Roman" w:hAnsi="Times New Roman"/>
          <w:szCs w:val="22"/>
        </w:rPr>
        <w:t>II)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Default="00484A6C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Zinc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09780E" w:rsidRDefault="0009780E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Default="0068653B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4B367F" w:rsidRPr="00815F90" w:rsidRDefault="004B367F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6A5296" w:rsidRPr="00815F90" w:rsidRDefault="006A5296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CF1EE9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5" w:name="_Hlk533143487"/>
      <w:r>
        <w:rPr>
          <w:rFonts w:ascii="Times New Roman" w:hAnsi="Times New Roman"/>
          <w:szCs w:val="22"/>
        </w:rPr>
        <w:t>Instrument air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2A7085" w:rsidRPr="002F451A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bookmarkEnd w:id="5"/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A7085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483A82" wp14:editId="47F96318">
                <wp:simplePos x="0" y="0"/>
                <wp:positionH relativeFrom="rightMargin">
                  <wp:posOffset>0</wp:posOffset>
                </wp:positionH>
                <wp:positionV relativeFrom="page">
                  <wp:posOffset>7692390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085" w:rsidRPr="004D1D3F" w:rsidRDefault="002A7085" w:rsidP="002A7085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24</w:t>
                            </w:r>
                            <w:r w:rsidR="000F0E3B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.Dec19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3A82" id="Textfeld 2" o:spid="_x0000_s1027" type="#_x0000_t202" style="position:absolute;left:0;text-align:left;margin-left:0;margin-top:605.7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DSHPyb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2A7085" w:rsidRPr="004D1D3F" w:rsidRDefault="002A7085" w:rsidP="002A7085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24</w:t>
                      </w:r>
                      <w:r w:rsidR="000F0E3B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.Dec19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2A7085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D64" w:rsidRDefault="00D25D64">
      <w:r>
        <w:separator/>
      </w:r>
    </w:p>
  </w:endnote>
  <w:endnote w:type="continuationSeparator" w:id="0">
    <w:p w:rsidR="00D25D64" w:rsidRDefault="00D2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D64" w:rsidRDefault="00D25D64">
      <w:r>
        <w:separator/>
      </w:r>
    </w:p>
  </w:footnote>
  <w:footnote w:type="continuationSeparator" w:id="0">
    <w:p w:rsidR="00D25D64" w:rsidRDefault="00D2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0F0E3B"/>
    <w:rsid w:val="00107ED5"/>
    <w:rsid w:val="001128E5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7DAA"/>
    <w:rsid w:val="002A7085"/>
    <w:rsid w:val="002B4228"/>
    <w:rsid w:val="002B5673"/>
    <w:rsid w:val="002C0834"/>
    <w:rsid w:val="002D1CDA"/>
    <w:rsid w:val="002D2FE3"/>
    <w:rsid w:val="002F6B94"/>
    <w:rsid w:val="002F6D3E"/>
    <w:rsid w:val="002F71BA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84A6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25A66"/>
    <w:rsid w:val="00527C3C"/>
    <w:rsid w:val="00535338"/>
    <w:rsid w:val="00541657"/>
    <w:rsid w:val="00546D53"/>
    <w:rsid w:val="00563460"/>
    <w:rsid w:val="005719D4"/>
    <w:rsid w:val="005A3077"/>
    <w:rsid w:val="005B11EA"/>
    <w:rsid w:val="005B23C8"/>
    <w:rsid w:val="005B2769"/>
    <w:rsid w:val="005C58FC"/>
    <w:rsid w:val="005D559A"/>
    <w:rsid w:val="005E2B38"/>
    <w:rsid w:val="006402C0"/>
    <w:rsid w:val="006463BB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A0627"/>
    <w:rsid w:val="007C50BD"/>
    <w:rsid w:val="007D0B61"/>
    <w:rsid w:val="007D6193"/>
    <w:rsid w:val="007E05F3"/>
    <w:rsid w:val="007E127A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0327"/>
    <w:rsid w:val="00972886"/>
    <w:rsid w:val="00976F89"/>
    <w:rsid w:val="009852D7"/>
    <w:rsid w:val="009865A4"/>
    <w:rsid w:val="0099089F"/>
    <w:rsid w:val="00992141"/>
    <w:rsid w:val="009A7B98"/>
    <w:rsid w:val="009B2C06"/>
    <w:rsid w:val="009B5210"/>
    <w:rsid w:val="009B5E68"/>
    <w:rsid w:val="009C0F70"/>
    <w:rsid w:val="009C1A50"/>
    <w:rsid w:val="009C1AA0"/>
    <w:rsid w:val="009C6D56"/>
    <w:rsid w:val="009E78CF"/>
    <w:rsid w:val="009F404A"/>
    <w:rsid w:val="00A026F8"/>
    <w:rsid w:val="00A0384F"/>
    <w:rsid w:val="00A050B7"/>
    <w:rsid w:val="00A13DC9"/>
    <w:rsid w:val="00A13F4D"/>
    <w:rsid w:val="00A14952"/>
    <w:rsid w:val="00A20635"/>
    <w:rsid w:val="00A3042D"/>
    <w:rsid w:val="00A32154"/>
    <w:rsid w:val="00A5472A"/>
    <w:rsid w:val="00A80AB3"/>
    <w:rsid w:val="00AA4372"/>
    <w:rsid w:val="00AA70FA"/>
    <w:rsid w:val="00AB5F3C"/>
    <w:rsid w:val="00AF204E"/>
    <w:rsid w:val="00AF254E"/>
    <w:rsid w:val="00AF7965"/>
    <w:rsid w:val="00B046F0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A21D2"/>
    <w:rsid w:val="00BA2E1B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CF1EE9"/>
    <w:rsid w:val="00D10FC0"/>
    <w:rsid w:val="00D1472C"/>
    <w:rsid w:val="00D165AA"/>
    <w:rsid w:val="00D17B5E"/>
    <w:rsid w:val="00D25D64"/>
    <w:rsid w:val="00D36618"/>
    <w:rsid w:val="00D423E0"/>
    <w:rsid w:val="00D44B3F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75C"/>
    <w:rsid w:val="00DD69DA"/>
    <w:rsid w:val="00DE58E3"/>
    <w:rsid w:val="00E163B1"/>
    <w:rsid w:val="00E166F6"/>
    <w:rsid w:val="00E30E7D"/>
    <w:rsid w:val="00E40F22"/>
    <w:rsid w:val="00E47F04"/>
    <w:rsid w:val="00E64B84"/>
    <w:rsid w:val="00E75876"/>
    <w:rsid w:val="00E819BB"/>
    <w:rsid w:val="00E82AE0"/>
    <w:rsid w:val="00E853E1"/>
    <w:rsid w:val="00E87EB8"/>
    <w:rsid w:val="00E93F1C"/>
    <w:rsid w:val="00E94C8A"/>
    <w:rsid w:val="00EA7B33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47CE"/>
    <w:rsid w:val="00F557F7"/>
    <w:rsid w:val="00F62937"/>
    <w:rsid w:val="00F6585B"/>
    <w:rsid w:val="00F71FC1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E3147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DA74-1E84-415E-91E6-3A46B8F5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5512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10</cp:revision>
  <cp:lastPrinted>2010-03-03T16:04:00Z</cp:lastPrinted>
  <dcterms:created xsi:type="dcterms:W3CDTF">2018-12-04T13:07:00Z</dcterms:created>
  <dcterms:modified xsi:type="dcterms:W3CDTF">2019-12-16T14:35:00Z</dcterms:modified>
</cp:coreProperties>
</file>