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7D6193" w:rsidRPr="00404035" w:rsidRDefault="00510231" w:rsidP="00E2107F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 w:rsidRPr="00404035">
        <w:rPr>
          <w:rFonts w:ascii="Times New Roman" w:hAnsi="Times New Roman"/>
          <w:szCs w:val="22"/>
        </w:rPr>
        <w:t xml:space="preserve">Instrument for semi-continuous, online monitoring of </w:t>
      </w:r>
      <w:r w:rsidR="00404035" w:rsidRPr="00404035">
        <w:rPr>
          <w:rFonts w:ascii="Times New Roman" w:hAnsi="Times New Roman"/>
          <w:szCs w:val="22"/>
        </w:rPr>
        <w:t>dissolved Manganese Mn(II)</w:t>
      </w:r>
      <w:r w:rsidRPr="00404035">
        <w:rPr>
          <w:rFonts w:ascii="Times New Roman" w:hAnsi="Times New Roman"/>
          <w:szCs w:val="22"/>
        </w:rPr>
        <w:t xml:space="preserve"> in water using </w:t>
      </w:r>
      <w:r w:rsidR="00840583" w:rsidRPr="00404035">
        <w:rPr>
          <w:rFonts w:ascii="Times New Roman" w:hAnsi="Times New Roman"/>
          <w:szCs w:val="22"/>
        </w:rPr>
        <w:t>colorimetric</w:t>
      </w:r>
      <w:r w:rsidRPr="00404035">
        <w:rPr>
          <w:rFonts w:ascii="Times New Roman" w:hAnsi="Times New Roman"/>
          <w:szCs w:val="22"/>
        </w:rPr>
        <w:t xml:space="preserve"> technology</w:t>
      </w:r>
      <w:r w:rsidR="000C7DCA" w:rsidRPr="00404035">
        <w:rPr>
          <w:rFonts w:ascii="Times New Roman" w:hAnsi="Times New Roman"/>
          <w:szCs w:val="22"/>
        </w:rPr>
        <w:t>.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analytical method</w:t>
      </w:r>
      <w:r w:rsidR="00FA35BC">
        <w:rPr>
          <w:rFonts w:ascii="Times New Roman" w:hAnsi="Times New Roman"/>
          <w:szCs w:val="22"/>
        </w:rPr>
        <w:t xml:space="preserve"> to determine dissolved Manganese Mn(II) in water</w:t>
      </w:r>
      <w:r>
        <w:rPr>
          <w:rFonts w:ascii="Times New Roman" w:hAnsi="Times New Roman"/>
          <w:szCs w:val="22"/>
        </w:rPr>
        <w:t xml:space="preserve"> is </w:t>
      </w:r>
      <w:r w:rsidR="00840583">
        <w:t xml:space="preserve">colorimetric measurement </w:t>
      </w:r>
      <w:r w:rsidR="00404035">
        <w:t xml:space="preserve">at 450 nm </w:t>
      </w:r>
      <w:r w:rsidR="00840583">
        <w:t xml:space="preserve">using </w:t>
      </w:r>
      <w:r w:rsidR="00404035">
        <w:t>formaldoxime.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A4409D" w:rsidRDefault="00A4409D" w:rsidP="00A4409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cuvette pathlength &lt;30 mm is not acceptable.</w:t>
      </w:r>
    </w:p>
    <w:p w:rsidR="00A4409D" w:rsidRDefault="00A4409D" w:rsidP="00A4409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A4409D" w:rsidRDefault="00A4409D" w:rsidP="00A4409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A4409D" w:rsidRDefault="00A4409D" w:rsidP="00A4409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A4409D" w:rsidRDefault="00A4409D" w:rsidP="00A4409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A4409D" w:rsidRDefault="00A4409D" w:rsidP="00A4409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A4409D" w:rsidRPr="00BF703A" w:rsidRDefault="00A4409D" w:rsidP="00A4409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0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9852D7" w:rsidP="00FA35BC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CB1D47">
        <w:rPr>
          <w:highlight w:val="yellow"/>
        </w:rPr>
        <w:t>0</w:t>
      </w:r>
      <w:r w:rsidR="00E42F98">
        <w:rPr>
          <w:highlight w:val="yellow"/>
        </w:rPr>
        <w:t>.002</w:t>
      </w:r>
      <w:r w:rsidR="00CB1D47">
        <w:rPr>
          <w:highlight w:val="yellow"/>
        </w:rPr>
        <w:t xml:space="preserve"> to 0.1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>[   ] 0</w:t>
      </w:r>
      <w:r w:rsidR="00E42F98">
        <w:rPr>
          <w:highlight w:val="yellow"/>
        </w:rPr>
        <w:t>.005</w:t>
      </w:r>
      <w:r w:rsidR="00CB1D47">
        <w:rPr>
          <w:highlight w:val="yellow"/>
        </w:rPr>
        <w:t xml:space="preserve"> to 0.25 mg/L </w:t>
      </w:r>
      <w:r w:rsidR="00CB1D47">
        <w:rPr>
          <w:highlight w:val="yellow"/>
        </w:rPr>
        <w:br/>
        <w:t>[   ] 0</w:t>
      </w:r>
      <w:r w:rsidR="00E42F98">
        <w:rPr>
          <w:highlight w:val="yellow"/>
        </w:rPr>
        <w:t>.005</w:t>
      </w:r>
      <w:r w:rsidR="00CB1D47">
        <w:rPr>
          <w:highlight w:val="yellow"/>
        </w:rPr>
        <w:t xml:space="preserve"> to 0.5 mg/L</w:t>
      </w:r>
      <w:r w:rsidR="00E82AE0">
        <w:rPr>
          <w:highlight w:val="yellow"/>
        </w:rPr>
        <w:br/>
        <w:t>[   ] 0</w:t>
      </w:r>
      <w:r w:rsidR="00E42F98">
        <w:rPr>
          <w:highlight w:val="yellow"/>
        </w:rPr>
        <w:t>.01</w:t>
      </w:r>
      <w:r w:rsidR="00E82AE0">
        <w:rPr>
          <w:highlight w:val="yellow"/>
        </w:rPr>
        <w:t xml:space="preserve"> to 1 mg/L</w:t>
      </w:r>
      <w:r w:rsidR="00CB1D47"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 w:rsidR="00E42F98">
        <w:rPr>
          <w:highlight w:val="yellow"/>
        </w:rPr>
        <w:t>.08</w:t>
      </w:r>
      <w:r w:rsidRPr="0073013E">
        <w:rPr>
          <w:highlight w:val="yellow"/>
        </w:rPr>
        <w:t xml:space="preserve"> to </w:t>
      </w:r>
      <w:r w:rsidR="00CB1D47">
        <w:rPr>
          <w:highlight w:val="yellow"/>
        </w:rPr>
        <w:t>4 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E42F98">
        <w:rPr>
          <w:rFonts w:ascii="Times New Roman" w:hAnsi="Times New Roman"/>
          <w:szCs w:val="22"/>
          <w:highlight w:val="yellow"/>
        </w:rPr>
        <w:t>.16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152E5B">
        <w:rPr>
          <w:rFonts w:ascii="Times New Roman" w:hAnsi="Times New Roman"/>
          <w:szCs w:val="22"/>
          <w:highlight w:val="yellow"/>
        </w:rPr>
        <w:t>8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E42F98">
        <w:rPr>
          <w:highlight w:val="yellow"/>
        </w:rPr>
        <w:t>1</w:t>
      </w:r>
      <w:r w:rsidR="00CB1D47">
        <w:rPr>
          <w:highlight w:val="yellow"/>
        </w:rPr>
        <w:t xml:space="preserve"> to </w:t>
      </w:r>
      <w:r w:rsidR="00152E5B">
        <w:rPr>
          <w:highlight w:val="yellow"/>
        </w:rPr>
        <w:t>up to 10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 xml:space="preserve">with internal </w:t>
      </w:r>
      <w:r w:rsidR="00152E5B">
        <w:rPr>
          <w:highlight w:val="yellow"/>
        </w:rPr>
        <w:t>dispenser</w:t>
      </w:r>
      <w:r w:rsidR="009E78CF" w:rsidRPr="0073013E">
        <w:rPr>
          <w:highlight w:val="yellow"/>
        </w:rPr>
        <w:t xml:space="preserve"> dilution</w:t>
      </w:r>
    </w:p>
    <w:p w:rsidR="00FA35BC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FA35BC" w:rsidRPr="00E82AE0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2</w:t>
      </w:r>
      <w:r w:rsidRPr="00E82AE0">
        <w:rPr>
          <w:rFonts w:ascii="Times New Roman" w:hAnsi="Times New Roman"/>
          <w:szCs w:val="22"/>
        </w:rPr>
        <w:t xml:space="preserve"> </w:t>
      </w:r>
      <w:r>
        <w:t>μg/L</w:t>
      </w:r>
    </w:p>
    <w:p w:rsidR="00FA35BC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FA35BC" w:rsidRPr="00FA35BC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Better </w:t>
      </w:r>
      <w:r w:rsidRPr="00404035">
        <w:rPr>
          <w:rFonts w:ascii="Times New Roman" w:hAnsi="Times New Roman"/>
          <w:szCs w:val="22"/>
        </w:rPr>
        <w:t>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9E78CF">
        <w:rPr>
          <w:rFonts w:ascii="Times New Roman" w:hAnsi="Times New Roman"/>
          <w:szCs w:val="22"/>
        </w:rPr>
        <w:t>0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FA35BC" w:rsidRPr="00794B31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FA35BC" w:rsidRPr="00794B31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FA35BC" w:rsidRPr="00794B31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lastRenderedPageBreak/>
        <w:t>Protection class</w:t>
      </w:r>
    </w:p>
    <w:p w:rsidR="00FA35BC" w:rsidRPr="00794B31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FA35BC" w:rsidRPr="00794B31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FA35BC" w:rsidRPr="00794B31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FA35BC" w:rsidRPr="00794B31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FA35BC" w:rsidRPr="00BA6F08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404035">
        <w:rPr>
          <w:rFonts w:ascii="Times New Roman" w:hAnsi="Times New Roman"/>
          <w:szCs w:val="22"/>
        </w:rPr>
        <w:t>Manganese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404035">
        <w:rPr>
          <w:rFonts w:ascii="Times New Roman" w:hAnsi="Times New Roman"/>
          <w:szCs w:val="22"/>
        </w:rPr>
        <w:t>Manganese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404035">
        <w:rPr>
          <w:rFonts w:ascii="Times New Roman" w:hAnsi="Times New Roman"/>
          <w:szCs w:val="22"/>
        </w:rPr>
        <w:t>dissolved Manganese</w:t>
      </w:r>
      <w:r w:rsidR="00FA35BC">
        <w:rPr>
          <w:rFonts w:ascii="Times New Roman" w:hAnsi="Times New Roman"/>
          <w:szCs w:val="22"/>
        </w:rPr>
        <w:t xml:space="preserve"> Mn(II)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404035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Manganese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Default="0009780E" w:rsidP="00A4409D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09780E" w:rsidRDefault="0009780E" w:rsidP="00A4409D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68653B" w:rsidRDefault="0068653B" w:rsidP="00A4409D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A4409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Default="00D81271" w:rsidP="00A4409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A4409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63C74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</w:t>
      </w:r>
      <w:r w:rsidR="00206491">
        <w:rPr>
          <w:rFonts w:ascii="Times New Roman" w:hAnsi="Times New Roman"/>
          <w:szCs w:val="22"/>
        </w:rPr>
        <w:t xml:space="preserve"> to 3</w:t>
      </w:r>
      <w:r w:rsidR="00B767AD" w:rsidRPr="00B767AD">
        <w:rPr>
          <w:rFonts w:ascii="Times New Roman" w:hAnsi="Times New Roman"/>
          <w:szCs w:val="22"/>
        </w:rPr>
        <w:t>0 °C</w:t>
      </w:r>
      <w:bookmarkStart w:id="1" w:name="_GoBack"/>
      <w:bookmarkEnd w:id="1"/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1A7B21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FA35BC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FA35BC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FA35BC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FA35BC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FA35BC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FA35BC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FA35BC" w:rsidRDefault="00FA35BC" w:rsidP="00FA35B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FA35BC" w:rsidRPr="002F451A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FA35BC" w:rsidRPr="00BA6F08" w:rsidRDefault="00FA35BC" w:rsidP="00FA35B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FA35BC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E2B1E4" wp14:editId="6ECF2B4D">
                <wp:simplePos x="0" y="0"/>
                <wp:positionH relativeFrom="rightMargin">
                  <wp:posOffset>0</wp:posOffset>
                </wp:positionH>
                <wp:positionV relativeFrom="page">
                  <wp:posOffset>7690592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35BC" w:rsidRPr="004D1D3F" w:rsidRDefault="00FA35BC" w:rsidP="00FA35BC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20</w:t>
                            </w:r>
                            <w:r w:rsidR="006F6279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263C74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Jan21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B1E4" id="Textfeld 2" o:spid="_x0000_s1027" type="#_x0000_t202" style="position:absolute;left:0;text-align:left;margin-left:0;margin-top:605.55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Db2wnW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FA35BC" w:rsidRPr="004D1D3F" w:rsidRDefault="00FA35BC" w:rsidP="00FA35BC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20</w:t>
                      </w:r>
                      <w:r w:rsidR="006F6279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263C74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Jan21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FA35BC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185" w:rsidRDefault="00AF5185">
      <w:r>
        <w:separator/>
      </w:r>
    </w:p>
  </w:endnote>
  <w:endnote w:type="continuationSeparator" w:id="0">
    <w:p w:rsidR="00AF5185" w:rsidRDefault="00AF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185" w:rsidRDefault="00AF5185">
      <w:r>
        <w:separator/>
      </w:r>
    </w:p>
  </w:footnote>
  <w:footnote w:type="continuationSeparator" w:id="0">
    <w:p w:rsidR="00AF5185" w:rsidRDefault="00AF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6040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4737"/>
    <w:rsid w:val="001A7B21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63C74"/>
    <w:rsid w:val="00266413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A7E7F"/>
    <w:rsid w:val="003B2FD6"/>
    <w:rsid w:val="003B40FE"/>
    <w:rsid w:val="003B74F7"/>
    <w:rsid w:val="003C2A37"/>
    <w:rsid w:val="003C3423"/>
    <w:rsid w:val="003C6B5A"/>
    <w:rsid w:val="003D3572"/>
    <w:rsid w:val="003E7D64"/>
    <w:rsid w:val="00404035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952B5"/>
    <w:rsid w:val="004958A9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46BD2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6F6279"/>
    <w:rsid w:val="006F62AB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3943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9089F"/>
    <w:rsid w:val="009A7B98"/>
    <w:rsid w:val="009B2C06"/>
    <w:rsid w:val="009B5210"/>
    <w:rsid w:val="009B5E68"/>
    <w:rsid w:val="009C0F70"/>
    <w:rsid w:val="009C1A50"/>
    <w:rsid w:val="009C1AA0"/>
    <w:rsid w:val="009C6D56"/>
    <w:rsid w:val="009E78CF"/>
    <w:rsid w:val="00A026F8"/>
    <w:rsid w:val="00A0384F"/>
    <w:rsid w:val="00A13DC9"/>
    <w:rsid w:val="00A13F4D"/>
    <w:rsid w:val="00A14952"/>
    <w:rsid w:val="00A20635"/>
    <w:rsid w:val="00A3042D"/>
    <w:rsid w:val="00A32154"/>
    <w:rsid w:val="00A35D85"/>
    <w:rsid w:val="00A4409D"/>
    <w:rsid w:val="00A5472A"/>
    <w:rsid w:val="00A80AB3"/>
    <w:rsid w:val="00AA4372"/>
    <w:rsid w:val="00AA70FA"/>
    <w:rsid w:val="00AB5F3C"/>
    <w:rsid w:val="00AF204E"/>
    <w:rsid w:val="00AF254E"/>
    <w:rsid w:val="00AF5185"/>
    <w:rsid w:val="00AF7965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40F22"/>
    <w:rsid w:val="00E42F98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1EC0"/>
    <w:rsid w:val="00F557F7"/>
    <w:rsid w:val="00F62937"/>
    <w:rsid w:val="00F6585B"/>
    <w:rsid w:val="00F74E02"/>
    <w:rsid w:val="00F93427"/>
    <w:rsid w:val="00FA2E8D"/>
    <w:rsid w:val="00FA35BC"/>
    <w:rsid w:val="00FA5AEC"/>
    <w:rsid w:val="00FA75C7"/>
    <w:rsid w:val="00FB00D4"/>
    <w:rsid w:val="00FB2EC9"/>
    <w:rsid w:val="00FB4289"/>
    <w:rsid w:val="00FB56B5"/>
    <w:rsid w:val="00FB71E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D067-24D0-49E7-9045-62934F7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5448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13</cp:revision>
  <cp:lastPrinted>2010-03-03T16:04:00Z</cp:lastPrinted>
  <dcterms:created xsi:type="dcterms:W3CDTF">2018-12-04T10:33:00Z</dcterms:created>
  <dcterms:modified xsi:type="dcterms:W3CDTF">2021-01-11T11:58:00Z</dcterms:modified>
</cp:coreProperties>
</file>